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770E1" w14:textId="6EA5EB10" w:rsidR="00BD7D36" w:rsidRPr="000F35BA" w:rsidRDefault="00BD7D36" w:rsidP="00312B17">
      <w:pPr>
        <w:pStyle w:val="Heading1"/>
        <w:tabs>
          <w:tab w:val="center" w:pos="1908"/>
        </w:tabs>
        <w:ind w:left="-90" w:firstLine="0"/>
        <w:rPr>
          <w:sz w:val="22"/>
          <w:u w:val="single"/>
        </w:rPr>
      </w:pPr>
      <w:r w:rsidRPr="000F35BA">
        <w:rPr>
          <w:sz w:val="22"/>
          <w:u w:val="single"/>
        </w:rPr>
        <w:t>Program Description</w:t>
      </w:r>
    </w:p>
    <w:p w14:paraId="4B024579" w14:textId="2CF30B6F" w:rsidR="00BD7D36" w:rsidRPr="00233E29" w:rsidRDefault="00BD7D36" w:rsidP="00312B17">
      <w:pPr>
        <w:spacing w:after="232" w:line="250" w:lineRule="auto"/>
        <w:ind w:left="-90" w:firstLine="0"/>
        <w:rPr>
          <w:sz w:val="22"/>
        </w:rPr>
      </w:pPr>
      <w:r w:rsidRPr="00233E29">
        <w:rPr>
          <w:rFonts w:ascii="Arial" w:eastAsia="Arial" w:hAnsi="Arial" w:cs="Arial"/>
          <w:sz w:val="22"/>
        </w:rPr>
        <w:t xml:space="preserve">Consumers seeking services at NNAMHS will provide income information to receive services based on the Sliding Fee Scale.  People meeting current national poverty guidelines, which are obtained from </w:t>
      </w:r>
      <w:hyperlink r:id="rId7">
        <w:r w:rsidRPr="00233E29">
          <w:rPr>
            <w:rFonts w:ascii="Arial" w:eastAsia="Arial" w:hAnsi="Arial" w:cs="Arial"/>
            <w:color w:val="0000FF"/>
            <w:sz w:val="22"/>
            <w:u w:val="single" w:color="0000FF"/>
          </w:rPr>
          <w:t>https://aspe.hhs.gov/poverty</w:t>
        </w:r>
      </w:hyperlink>
      <w:hyperlink r:id="rId8">
        <w:r w:rsidRPr="00233E29">
          <w:rPr>
            <w:rFonts w:ascii="Arial" w:eastAsia="Arial" w:hAnsi="Arial" w:cs="Arial"/>
            <w:color w:val="0000FF"/>
            <w:sz w:val="22"/>
            <w:u w:val="single" w:color="0000FF"/>
          </w:rPr>
          <w:t>-</w:t>
        </w:r>
      </w:hyperlink>
      <w:hyperlink r:id="rId9">
        <w:r w:rsidRPr="00233E29">
          <w:rPr>
            <w:rFonts w:ascii="Arial" w:eastAsia="Arial" w:hAnsi="Arial" w:cs="Arial"/>
            <w:color w:val="0000FF"/>
            <w:sz w:val="22"/>
            <w:u w:val="single" w:color="0000FF"/>
          </w:rPr>
          <w:t>guidelines</w:t>
        </w:r>
      </w:hyperlink>
      <w:hyperlink r:id="rId10">
        <w:r w:rsidRPr="00233E29">
          <w:rPr>
            <w:rFonts w:ascii="Arial" w:eastAsia="Arial" w:hAnsi="Arial" w:cs="Arial"/>
            <w:sz w:val="22"/>
          </w:rPr>
          <w:t>,</w:t>
        </w:r>
      </w:hyperlink>
      <w:r w:rsidRPr="00233E29">
        <w:rPr>
          <w:rFonts w:ascii="Arial" w:eastAsia="Arial" w:hAnsi="Arial" w:cs="Arial"/>
          <w:sz w:val="22"/>
        </w:rPr>
        <w:t xml:space="preserve"> will not be denied services if they are unable to pay and will be assessed for their payment responsibility at least annually and/or when income or job status changes.</w:t>
      </w:r>
    </w:p>
    <w:p w14:paraId="313015B7" w14:textId="0F7750E9" w:rsidR="00BD7D36" w:rsidRPr="000F35BA" w:rsidRDefault="00BD7D36" w:rsidP="00312B17">
      <w:pPr>
        <w:pStyle w:val="Heading1"/>
        <w:tabs>
          <w:tab w:val="center" w:pos="1307"/>
        </w:tabs>
        <w:ind w:left="-90" w:firstLine="0"/>
        <w:rPr>
          <w:sz w:val="22"/>
          <w:u w:val="single"/>
        </w:rPr>
      </w:pPr>
      <w:r w:rsidRPr="000F35BA">
        <w:rPr>
          <w:sz w:val="22"/>
          <w:u w:val="single"/>
        </w:rPr>
        <w:t>PURPOSE</w:t>
      </w:r>
    </w:p>
    <w:p w14:paraId="1CBDD065" w14:textId="3FFC3BC8" w:rsidR="00BD7D36" w:rsidRPr="00233E29" w:rsidRDefault="00BD7D36" w:rsidP="00312B17">
      <w:pPr>
        <w:spacing w:after="232" w:line="250" w:lineRule="auto"/>
        <w:ind w:left="-90" w:firstLine="0"/>
        <w:rPr>
          <w:sz w:val="22"/>
        </w:rPr>
      </w:pPr>
      <w:r w:rsidRPr="00233E29">
        <w:rPr>
          <w:rFonts w:ascii="Arial" w:eastAsia="Arial" w:hAnsi="Arial" w:cs="Arial"/>
          <w:sz w:val="22"/>
        </w:rPr>
        <w:t>Consumers must access insurance and benefits to which they are eligible and will be appropriately billed according to their income.  Services are first billed to any insurance or third-party payers.  Consumer charges will be based on the DPBH Sliding Fee Scale.</w:t>
      </w:r>
    </w:p>
    <w:p w14:paraId="38F06E09" w14:textId="05BB1018" w:rsidR="00BD7D36" w:rsidRPr="000F35BA" w:rsidRDefault="00BD7D36" w:rsidP="00312B17">
      <w:pPr>
        <w:tabs>
          <w:tab w:val="center" w:pos="1141"/>
        </w:tabs>
        <w:spacing w:after="226" w:line="259" w:lineRule="auto"/>
        <w:ind w:left="-90" w:firstLine="0"/>
        <w:rPr>
          <w:sz w:val="22"/>
          <w:u w:val="single"/>
        </w:rPr>
      </w:pPr>
      <w:r w:rsidRPr="000F35BA">
        <w:rPr>
          <w:rFonts w:ascii="Arial" w:eastAsia="Arial" w:hAnsi="Arial" w:cs="Arial"/>
          <w:b/>
          <w:sz w:val="22"/>
          <w:u w:val="single"/>
        </w:rPr>
        <w:t>SCOPE</w:t>
      </w:r>
    </w:p>
    <w:p w14:paraId="7ABA23B6" w14:textId="4CEC9F66" w:rsidR="00BD7D36" w:rsidRPr="00233E29" w:rsidRDefault="00BD7D36" w:rsidP="00312B17">
      <w:pPr>
        <w:spacing w:after="232" w:line="250" w:lineRule="auto"/>
        <w:ind w:left="-90" w:firstLine="0"/>
        <w:rPr>
          <w:sz w:val="22"/>
        </w:rPr>
      </w:pPr>
      <w:r w:rsidRPr="00233E29">
        <w:rPr>
          <w:rFonts w:ascii="Arial" w:eastAsia="Arial" w:hAnsi="Arial" w:cs="Arial"/>
          <w:sz w:val="22"/>
        </w:rPr>
        <w:t>This policy applies to all NNAMHS sites and programs.</w:t>
      </w:r>
    </w:p>
    <w:p w14:paraId="51F8F228" w14:textId="0194C590" w:rsidR="00BD7D36" w:rsidRPr="000F35BA" w:rsidRDefault="0036150E" w:rsidP="00312B17">
      <w:pPr>
        <w:pStyle w:val="Heading1"/>
        <w:tabs>
          <w:tab w:val="center" w:pos="1567"/>
        </w:tabs>
        <w:ind w:left="-90" w:firstLine="0"/>
        <w:rPr>
          <w:sz w:val="22"/>
          <w:u w:val="single"/>
        </w:rPr>
      </w:pPr>
      <w:r>
        <w:rPr>
          <w:sz w:val="22"/>
          <w:u w:val="single"/>
        </w:rPr>
        <w:t>PROCEDURES</w:t>
      </w:r>
    </w:p>
    <w:p w14:paraId="566EB7E1" w14:textId="6DC80BF8" w:rsidR="00BD7D36" w:rsidRPr="0036150E" w:rsidRDefault="00BD7D36" w:rsidP="0036150E">
      <w:pPr>
        <w:pStyle w:val="ListParagraph"/>
        <w:numPr>
          <w:ilvl w:val="0"/>
          <w:numId w:val="1"/>
        </w:numPr>
        <w:tabs>
          <w:tab w:val="center" w:pos="887"/>
          <w:tab w:val="center" w:pos="5120"/>
        </w:tabs>
        <w:spacing w:after="226" w:line="259" w:lineRule="auto"/>
        <w:rPr>
          <w:sz w:val="22"/>
        </w:rPr>
      </w:pPr>
      <w:r w:rsidRPr="0036150E">
        <w:rPr>
          <w:rFonts w:ascii="Arial" w:eastAsia="Arial" w:hAnsi="Arial" w:cs="Arial"/>
          <w:sz w:val="22"/>
        </w:rPr>
        <w:t>A consumer may be denied services if they are able to pay but refuse</w:t>
      </w:r>
    </w:p>
    <w:p w14:paraId="70911A49" w14:textId="2E8010F2" w:rsidR="00BD7D36" w:rsidRPr="0036150E" w:rsidRDefault="00BD7D36" w:rsidP="0036150E">
      <w:pPr>
        <w:pStyle w:val="ListParagraph"/>
        <w:numPr>
          <w:ilvl w:val="0"/>
          <w:numId w:val="1"/>
        </w:numPr>
        <w:spacing w:after="232" w:line="250" w:lineRule="auto"/>
        <w:rPr>
          <w:sz w:val="22"/>
        </w:rPr>
      </w:pPr>
      <w:r w:rsidRPr="0036150E">
        <w:rPr>
          <w:rFonts w:ascii="Arial" w:eastAsia="Arial" w:hAnsi="Arial" w:cs="Arial"/>
          <w:sz w:val="22"/>
        </w:rPr>
        <w:t>Urgent or emergent services will not be delayed or denied for failure to apply for benefits and/or pay for services</w:t>
      </w:r>
    </w:p>
    <w:p w14:paraId="09AA63C6" w14:textId="0216E477" w:rsidR="00BD7D36" w:rsidRPr="0036150E" w:rsidRDefault="00BD7D36" w:rsidP="0036150E">
      <w:pPr>
        <w:pStyle w:val="ListParagraph"/>
        <w:numPr>
          <w:ilvl w:val="0"/>
          <w:numId w:val="1"/>
        </w:numPr>
        <w:tabs>
          <w:tab w:val="center" w:pos="887"/>
          <w:tab w:val="center" w:pos="5161"/>
        </w:tabs>
        <w:spacing w:after="226" w:line="259" w:lineRule="auto"/>
        <w:rPr>
          <w:sz w:val="22"/>
        </w:rPr>
      </w:pPr>
      <w:r w:rsidRPr="0036150E">
        <w:rPr>
          <w:rFonts w:ascii="Arial" w:eastAsia="Arial" w:hAnsi="Arial" w:cs="Arial"/>
          <w:sz w:val="22"/>
        </w:rPr>
        <w:t>At screening, administrative personnel at each NNAMHS office will:</w:t>
      </w:r>
    </w:p>
    <w:p w14:paraId="68C26324" w14:textId="28F92B31" w:rsidR="00BD7D36" w:rsidRPr="0036150E" w:rsidRDefault="00BD7D36" w:rsidP="0062575B">
      <w:pPr>
        <w:pStyle w:val="ListParagraph"/>
        <w:numPr>
          <w:ilvl w:val="1"/>
          <w:numId w:val="1"/>
        </w:numPr>
        <w:spacing w:after="232" w:line="250" w:lineRule="auto"/>
        <w:rPr>
          <w:sz w:val="22"/>
        </w:rPr>
      </w:pPr>
      <w:r w:rsidRPr="0036150E">
        <w:rPr>
          <w:rFonts w:ascii="Arial" w:eastAsia="Arial" w:hAnsi="Arial" w:cs="Arial"/>
          <w:sz w:val="22"/>
        </w:rPr>
        <w:t>Notify the consumer that services are provided at full cost until receipt of:</w:t>
      </w:r>
    </w:p>
    <w:p w14:paraId="04624F79" w14:textId="0EE74BB6" w:rsidR="00BD7D36" w:rsidRPr="0036150E" w:rsidRDefault="00BD7D36" w:rsidP="0062575B">
      <w:pPr>
        <w:pStyle w:val="ListParagraph"/>
        <w:numPr>
          <w:ilvl w:val="1"/>
          <w:numId w:val="1"/>
        </w:numPr>
        <w:spacing w:after="232" w:line="250" w:lineRule="auto"/>
        <w:rPr>
          <w:sz w:val="22"/>
        </w:rPr>
      </w:pPr>
      <w:r w:rsidRPr="0036150E">
        <w:rPr>
          <w:rFonts w:ascii="Arial" w:eastAsia="Arial" w:hAnsi="Arial" w:cs="Arial"/>
          <w:sz w:val="22"/>
        </w:rPr>
        <w:t>A completed Financial</w:t>
      </w:r>
      <w:r w:rsidR="00233E29" w:rsidRPr="0036150E">
        <w:rPr>
          <w:rFonts w:ascii="Arial" w:eastAsia="Arial" w:hAnsi="Arial" w:cs="Arial"/>
          <w:sz w:val="22"/>
        </w:rPr>
        <w:t xml:space="preserve"> Information</w:t>
      </w:r>
      <w:r w:rsidRPr="0036150E">
        <w:rPr>
          <w:rFonts w:ascii="Arial" w:eastAsia="Arial" w:hAnsi="Arial" w:cs="Arial"/>
          <w:sz w:val="22"/>
        </w:rPr>
        <w:t xml:space="preserve"> </w:t>
      </w:r>
      <w:r w:rsidR="00233E29" w:rsidRPr="0036150E">
        <w:rPr>
          <w:rFonts w:ascii="Arial" w:eastAsia="Arial" w:hAnsi="Arial" w:cs="Arial"/>
          <w:sz w:val="22"/>
        </w:rPr>
        <w:t>F</w:t>
      </w:r>
      <w:r w:rsidRPr="0036150E">
        <w:rPr>
          <w:rFonts w:ascii="Arial" w:eastAsia="Arial" w:hAnsi="Arial" w:cs="Arial"/>
          <w:sz w:val="22"/>
        </w:rPr>
        <w:t xml:space="preserve">orm (FIF) (Attachment </w:t>
      </w:r>
      <w:r w:rsidR="00442361">
        <w:rPr>
          <w:rFonts w:ascii="Arial" w:eastAsia="Arial" w:hAnsi="Arial" w:cs="Arial"/>
          <w:sz w:val="22"/>
        </w:rPr>
        <w:t>A</w:t>
      </w:r>
      <w:r w:rsidRPr="0036150E">
        <w:rPr>
          <w:rFonts w:ascii="Arial" w:eastAsia="Arial" w:hAnsi="Arial" w:cs="Arial"/>
          <w:sz w:val="22"/>
        </w:rPr>
        <w:t>1), including all applicable family members (spouse or partner) indicating gross income (before taxes).</w:t>
      </w:r>
    </w:p>
    <w:p w14:paraId="4A8F7DF1" w14:textId="748A6ED4" w:rsidR="00BD7D36" w:rsidRPr="0036150E" w:rsidRDefault="0062575B" w:rsidP="0062575B">
      <w:pPr>
        <w:pStyle w:val="ListParagraph"/>
        <w:numPr>
          <w:ilvl w:val="1"/>
          <w:numId w:val="1"/>
        </w:numPr>
        <w:tabs>
          <w:tab w:val="center" w:pos="2167"/>
          <w:tab w:val="center" w:pos="5056"/>
        </w:tabs>
        <w:spacing w:after="232" w:line="250" w:lineRule="auto"/>
        <w:rPr>
          <w:sz w:val="22"/>
        </w:rPr>
      </w:pPr>
      <w:r>
        <w:rPr>
          <w:rFonts w:ascii="Arial" w:eastAsia="Arial" w:hAnsi="Arial" w:cs="Arial"/>
          <w:sz w:val="22"/>
        </w:rPr>
        <w:t xml:space="preserve">Collect proof of </w:t>
      </w:r>
      <w:r w:rsidR="00BD7D36" w:rsidRPr="0036150E">
        <w:rPr>
          <w:rFonts w:ascii="Arial" w:eastAsia="Arial" w:hAnsi="Arial" w:cs="Arial"/>
          <w:sz w:val="22"/>
        </w:rPr>
        <w:t xml:space="preserve">30 days of income </w:t>
      </w:r>
      <w:r w:rsidR="00210A10" w:rsidRPr="0036150E">
        <w:rPr>
          <w:rFonts w:ascii="Arial" w:eastAsia="Arial" w:hAnsi="Arial" w:cs="Arial"/>
          <w:sz w:val="22"/>
        </w:rPr>
        <w:t>information</w:t>
      </w:r>
      <w:r w:rsidR="00210A10">
        <w:rPr>
          <w:rFonts w:ascii="Arial" w:eastAsia="Arial" w:hAnsi="Arial" w:cs="Arial"/>
          <w:sz w:val="22"/>
        </w:rPr>
        <w:t xml:space="preserve"> (if possible)</w:t>
      </w:r>
      <w:r w:rsidR="00BD7D36" w:rsidRPr="0036150E">
        <w:rPr>
          <w:rFonts w:ascii="Arial" w:eastAsia="Arial" w:hAnsi="Arial" w:cs="Arial"/>
          <w:sz w:val="22"/>
        </w:rPr>
        <w:t>, including:</w:t>
      </w:r>
    </w:p>
    <w:p w14:paraId="272BCD4D" w14:textId="0F1731BA" w:rsidR="0036150E" w:rsidRPr="0036150E" w:rsidRDefault="0036150E" w:rsidP="0062575B">
      <w:pPr>
        <w:pStyle w:val="ListParagraph"/>
        <w:numPr>
          <w:ilvl w:val="2"/>
          <w:numId w:val="1"/>
        </w:numPr>
        <w:tabs>
          <w:tab w:val="center" w:pos="2167"/>
          <w:tab w:val="center" w:pos="5056"/>
        </w:tabs>
        <w:spacing w:after="232" w:line="250" w:lineRule="auto"/>
        <w:rPr>
          <w:sz w:val="22"/>
        </w:rPr>
      </w:pPr>
      <w:r w:rsidRPr="0036150E">
        <w:rPr>
          <w:rFonts w:ascii="Arial" w:eastAsia="Arial" w:hAnsi="Arial" w:cs="Arial"/>
          <w:sz w:val="22"/>
        </w:rPr>
        <w:t>Social Security benefits</w:t>
      </w:r>
    </w:p>
    <w:p w14:paraId="07DB691E" w14:textId="17985839" w:rsidR="0036150E" w:rsidRPr="0036150E" w:rsidRDefault="0036150E" w:rsidP="0062575B">
      <w:pPr>
        <w:pStyle w:val="ListParagraph"/>
        <w:numPr>
          <w:ilvl w:val="2"/>
          <w:numId w:val="1"/>
        </w:numPr>
        <w:tabs>
          <w:tab w:val="center" w:pos="2167"/>
          <w:tab w:val="center" w:pos="5056"/>
        </w:tabs>
        <w:spacing w:after="232" w:line="250" w:lineRule="auto"/>
        <w:rPr>
          <w:sz w:val="22"/>
        </w:rPr>
      </w:pPr>
      <w:r w:rsidRPr="0036150E">
        <w:rPr>
          <w:rFonts w:ascii="Arial" w:eastAsia="Arial" w:hAnsi="Arial" w:cs="Arial"/>
          <w:sz w:val="22"/>
        </w:rPr>
        <w:t>Employment Income</w:t>
      </w:r>
    </w:p>
    <w:p w14:paraId="3F9A65FF" w14:textId="361A5C1A" w:rsidR="0036150E" w:rsidRPr="0036150E" w:rsidRDefault="0036150E" w:rsidP="0062575B">
      <w:pPr>
        <w:pStyle w:val="ListParagraph"/>
        <w:numPr>
          <w:ilvl w:val="2"/>
          <w:numId w:val="1"/>
        </w:numPr>
        <w:spacing w:after="232" w:line="250" w:lineRule="auto"/>
        <w:rPr>
          <w:rFonts w:ascii="Arial" w:eastAsia="Arial" w:hAnsi="Arial" w:cs="Arial"/>
          <w:sz w:val="22"/>
        </w:rPr>
      </w:pPr>
      <w:r w:rsidRPr="0036150E">
        <w:rPr>
          <w:rFonts w:ascii="Arial" w:eastAsia="Arial" w:hAnsi="Arial" w:cs="Arial"/>
          <w:sz w:val="22"/>
        </w:rPr>
        <w:t>Other taxable earned income as defined by the Internal</w:t>
      </w:r>
      <w:r>
        <w:rPr>
          <w:rFonts w:ascii="Arial" w:eastAsia="Arial" w:hAnsi="Arial" w:cs="Arial"/>
          <w:sz w:val="22"/>
        </w:rPr>
        <w:t xml:space="preserve"> </w:t>
      </w:r>
      <w:r w:rsidRPr="0036150E">
        <w:rPr>
          <w:rFonts w:ascii="Arial" w:eastAsia="Arial" w:hAnsi="Arial" w:cs="Arial"/>
          <w:sz w:val="22"/>
        </w:rPr>
        <w:t>Revenue Service</w:t>
      </w:r>
    </w:p>
    <w:p w14:paraId="4A7D2FAA" w14:textId="09E2CF2F" w:rsidR="0036150E" w:rsidRPr="0036150E" w:rsidRDefault="0036150E" w:rsidP="0062575B">
      <w:pPr>
        <w:pStyle w:val="ListParagraph"/>
        <w:numPr>
          <w:ilvl w:val="2"/>
          <w:numId w:val="1"/>
        </w:numPr>
        <w:tabs>
          <w:tab w:val="center" w:pos="2167"/>
          <w:tab w:val="center" w:pos="5056"/>
        </w:tabs>
        <w:spacing w:after="232" w:line="250" w:lineRule="auto"/>
        <w:rPr>
          <w:sz w:val="22"/>
        </w:rPr>
      </w:pPr>
      <w:r w:rsidRPr="0036150E">
        <w:rPr>
          <w:rFonts w:ascii="Arial" w:eastAsia="Arial" w:hAnsi="Arial" w:cs="Arial"/>
          <w:sz w:val="22"/>
        </w:rPr>
        <w:t>Child Support</w:t>
      </w:r>
      <w:r w:rsidR="00AD6559">
        <w:rPr>
          <w:rFonts w:ascii="Arial" w:eastAsia="Arial" w:hAnsi="Arial" w:cs="Arial"/>
          <w:sz w:val="22"/>
        </w:rPr>
        <w:t xml:space="preserve"> and </w:t>
      </w:r>
      <w:r w:rsidRPr="0036150E">
        <w:rPr>
          <w:rFonts w:ascii="Arial" w:eastAsia="Arial" w:hAnsi="Arial" w:cs="Arial"/>
          <w:sz w:val="22"/>
        </w:rPr>
        <w:t xml:space="preserve">child SSI should be </w:t>
      </w:r>
      <w:r w:rsidR="00AD6559">
        <w:rPr>
          <w:rFonts w:ascii="Arial" w:eastAsia="Arial" w:hAnsi="Arial" w:cs="Arial"/>
          <w:sz w:val="22"/>
        </w:rPr>
        <w:t>i</w:t>
      </w:r>
      <w:r w:rsidRPr="0036150E">
        <w:rPr>
          <w:rFonts w:ascii="Arial" w:eastAsia="Arial" w:hAnsi="Arial" w:cs="Arial"/>
          <w:sz w:val="22"/>
        </w:rPr>
        <w:t>ncluded when calculating a parent/client</w:t>
      </w:r>
      <w:r w:rsidR="000613B4">
        <w:rPr>
          <w:rFonts w:ascii="Arial" w:eastAsia="Arial" w:hAnsi="Arial" w:cs="Arial"/>
          <w:sz w:val="22"/>
        </w:rPr>
        <w:t>’</w:t>
      </w:r>
      <w:r w:rsidRPr="0036150E">
        <w:rPr>
          <w:rFonts w:ascii="Arial" w:eastAsia="Arial" w:hAnsi="Arial" w:cs="Arial"/>
          <w:sz w:val="22"/>
        </w:rPr>
        <w:t>s SFS</w:t>
      </w:r>
      <w:r w:rsidR="00A51685">
        <w:rPr>
          <w:rFonts w:ascii="Arial" w:eastAsia="Arial" w:hAnsi="Arial" w:cs="Arial"/>
          <w:sz w:val="22"/>
        </w:rPr>
        <w:t>.</w:t>
      </w:r>
      <w:r w:rsidR="00AD6559">
        <w:rPr>
          <w:rFonts w:ascii="Arial" w:eastAsia="Arial" w:hAnsi="Arial" w:cs="Arial"/>
          <w:sz w:val="22"/>
        </w:rPr>
        <w:t xml:space="preserve"> A child’s SSD should NOT be counted towards a </w:t>
      </w:r>
      <w:r w:rsidR="00AD6559" w:rsidRPr="0036150E">
        <w:rPr>
          <w:rFonts w:ascii="Arial" w:eastAsia="Arial" w:hAnsi="Arial" w:cs="Arial"/>
          <w:sz w:val="22"/>
        </w:rPr>
        <w:t>parent/</w:t>
      </w:r>
      <w:r w:rsidR="000613B4" w:rsidRPr="0036150E">
        <w:rPr>
          <w:rFonts w:ascii="Arial" w:eastAsia="Arial" w:hAnsi="Arial" w:cs="Arial"/>
          <w:sz w:val="22"/>
        </w:rPr>
        <w:t>client’s</w:t>
      </w:r>
      <w:r w:rsidR="00AD6559">
        <w:rPr>
          <w:rFonts w:ascii="Arial" w:eastAsia="Arial" w:hAnsi="Arial" w:cs="Arial"/>
          <w:sz w:val="22"/>
        </w:rPr>
        <w:t xml:space="preserve"> income. </w:t>
      </w:r>
    </w:p>
    <w:p w14:paraId="0D3D7AA1" w14:textId="713A7657" w:rsidR="00BD7D36" w:rsidRPr="0062575B" w:rsidRDefault="00BD7D36" w:rsidP="0036150E">
      <w:pPr>
        <w:pStyle w:val="ListParagraph"/>
        <w:numPr>
          <w:ilvl w:val="0"/>
          <w:numId w:val="1"/>
        </w:numPr>
        <w:spacing w:after="232" w:line="250" w:lineRule="auto"/>
        <w:rPr>
          <w:sz w:val="22"/>
        </w:rPr>
      </w:pPr>
      <w:r w:rsidRPr="0036150E">
        <w:rPr>
          <w:rFonts w:ascii="Arial" w:eastAsia="Arial" w:hAnsi="Arial" w:cs="Arial"/>
          <w:sz w:val="22"/>
        </w:rPr>
        <w:t>If the consumer has no insurance, or any insurance other than a Medicare product, they can attest to their income without the provision of the above documentation.</w:t>
      </w:r>
      <w:r w:rsidR="000613B4">
        <w:rPr>
          <w:rFonts w:ascii="Arial" w:eastAsia="Arial" w:hAnsi="Arial" w:cs="Arial"/>
          <w:sz w:val="22"/>
        </w:rPr>
        <w:t xml:space="preserve"> </w:t>
      </w:r>
      <w:r w:rsidRPr="0036150E">
        <w:rPr>
          <w:rFonts w:ascii="Arial" w:eastAsia="Arial" w:hAnsi="Arial" w:cs="Arial"/>
          <w:sz w:val="22"/>
        </w:rPr>
        <w:t>This is Self-Attestation, and staff must mark the Self-Attestation Approved box of the form when applicable</w:t>
      </w:r>
    </w:p>
    <w:p w14:paraId="6ABF826D" w14:textId="301379A7" w:rsidR="0062575B" w:rsidRPr="0036150E" w:rsidRDefault="0062575B" w:rsidP="0036150E">
      <w:pPr>
        <w:pStyle w:val="ListParagraph"/>
        <w:numPr>
          <w:ilvl w:val="0"/>
          <w:numId w:val="1"/>
        </w:numPr>
        <w:spacing w:after="232" w:line="250" w:lineRule="auto"/>
        <w:rPr>
          <w:sz w:val="22"/>
        </w:rPr>
      </w:pPr>
      <w:r w:rsidRPr="0062575B">
        <w:rPr>
          <w:rFonts w:ascii="Arial" w:eastAsia="Arial" w:hAnsi="Arial" w:cs="Arial"/>
          <w:sz w:val="22"/>
        </w:rPr>
        <w:t>Medicare and Medicare Advantage Plans cannot use Self Attestation as their proof of income and consumers with Medicare must provide documented Proof of Income (POI) to qualify for the Sliding Scale Fee</w:t>
      </w:r>
    </w:p>
    <w:p w14:paraId="3EAB35D9" w14:textId="762ECFF6" w:rsidR="00BD7D36" w:rsidRPr="0062575B" w:rsidRDefault="0062575B" w:rsidP="0062575B">
      <w:pPr>
        <w:tabs>
          <w:tab w:val="center" w:pos="2167"/>
          <w:tab w:val="center" w:pos="5937"/>
        </w:tabs>
        <w:spacing w:after="232" w:line="250" w:lineRule="auto"/>
        <w:rPr>
          <w:sz w:val="22"/>
        </w:rPr>
      </w:pPr>
      <w:r>
        <w:rPr>
          <w:rFonts w:ascii="Arial" w:eastAsia="Arial" w:hAnsi="Arial" w:cs="Arial"/>
          <w:sz w:val="22"/>
        </w:rPr>
        <w:tab/>
      </w:r>
    </w:p>
    <w:p w14:paraId="493DA8D0" w14:textId="5F24E7FA" w:rsidR="00BD7D36" w:rsidRPr="0036150E" w:rsidRDefault="00BD7D36" w:rsidP="0036150E">
      <w:pPr>
        <w:pStyle w:val="ListParagraph"/>
        <w:numPr>
          <w:ilvl w:val="0"/>
          <w:numId w:val="1"/>
        </w:numPr>
        <w:spacing w:after="232" w:line="250" w:lineRule="auto"/>
        <w:rPr>
          <w:sz w:val="22"/>
        </w:rPr>
      </w:pPr>
      <w:r w:rsidRPr="0036150E">
        <w:rPr>
          <w:rFonts w:ascii="Arial" w:eastAsia="Arial" w:hAnsi="Arial" w:cs="Arial"/>
          <w:sz w:val="22"/>
        </w:rPr>
        <w:lastRenderedPageBreak/>
        <w:t>Consumers with Medicare Advantage Plans, by contract, are required to make an applicable copay that cannot be adjusted by the sliding fee scale unless otherwise approved by Agency Administration</w:t>
      </w:r>
    </w:p>
    <w:p w14:paraId="5D820B61" w14:textId="7050698B" w:rsidR="00BD7D36" w:rsidRPr="0036150E" w:rsidRDefault="00BD7D36" w:rsidP="0036150E">
      <w:pPr>
        <w:pStyle w:val="ListParagraph"/>
        <w:numPr>
          <w:ilvl w:val="0"/>
          <w:numId w:val="1"/>
        </w:numPr>
        <w:spacing w:after="232" w:line="250" w:lineRule="auto"/>
        <w:rPr>
          <w:sz w:val="22"/>
        </w:rPr>
      </w:pPr>
      <w:r w:rsidRPr="0036150E">
        <w:rPr>
          <w:rFonts w:ascii="Arial" w:eastAsia="Arial" w:hAnsi="Arial" w:cs="Arial"/>
          <w:sz w:val="22"/>
        </w:rPr>
        <w:t>Administrative personnel will determine the consumer cost Tier (percentage) using the Nevada Sliding Fee Scale chart.  This chart is updated annually in January based on Federal Poverty Guidelines. The consumer Tier level must be indicated on the completed FIF in the Staff Only area, and approved by the consumer signature</w:t>
      </w:r>
    </w:p>
    <w:p w14:paraId="2641F2B3" w14:textId="28B6435E" w:rsidR="00BD7D36" w:rsidRPr="0036150E" w:rsidRDefault="00BD7D36" w:rsidP="0036150E">
      <w:pPr>
        <w:pStyle w:val="ListParagraph"/>
        <w:numPr>
          <w:ilvl w:val="0"/>
          <w:numId w:val="1"/>
        </w:numPr>
        <w:spacing w:after="232" w:line="250" w:lineRule="auto"/>
        <w:rPr>
          <w:sz w:val="22"/>
        </w:rPr>
      </w:pPr>
      <w:r w:rsidRPr="0036150E">
        <w:rPr>
          <w:rFonts w:ascii="Arial" w:eastAsia="Arial" w:hAnsi="Arial" w:cs="Arial"/>
          <w:sz w:val="22"/>
        </w:rPr>
        <w:t>Once the Tier is determined, administrative personnel can notify the consumer of their maximum payment responsibility from the Direct Client Sliding Fee Schedule- commonly called the Client Cost</w:t>
      </w:r>
      <w:r w:rsidR="00550665" w:rsidRPr="0036150E">
        <w:rPr>
          <w:rFonts w:ascii="Arial" w:eastAsia="Arial" w:hAnsi="Arial" w:cs="Arial"/>
          <w:sz w:val="22"/>
        </w:rPr>
        <w:t xml:space="preserve"> </w:t>
      </w:r>
      <w:r w:rsidRPr="0036150E">
        <w:rPr>
          <w:rFonts w:ascii="Arial" w:eastAsia="Arial" w:hAnsi="Arial" w:cs="Arial"/>
          <w:sz w:val="22"/>
        </w:rPr>
        <w:t>Chart.</w:t>
      </w:r>
      <w:r w:rsidR="00550665" w:rsidRPr="0036150E">
        <w:rPr>
          <w:rFonts w:ascii="Arial" w:eastAsia="Arial" w:hAnsi="Arial" w:cs="Arial"/>
          <w:sz w:val="22"/>
        </w:rPr>
        <w:t xml:space="preserve"> </w:t>
      </w:r>
      <w:r w:rsidRPr="0036150E">
        <w:rPr>
          <w:rFonts w:ascii="Arial" w:eastAsia="Arial" w:hAnsi="Arial" w:cs="Arial"/>
          <w:sz w:val="22"/>
        </w:rPr>
        <w:t>The chart should be posted in a visible location in each NNAMHS office.</w:t>
      </w:r>
    </w:p>
    <w:p w14:paraId="4B088123" w14:textId="2F81CE79" w:rsidR="00BD7D36" w:rsidRPr="0036150E" w:rsidRDefault="00BD7D36" w:rsidP="0036150E">
      <w:pPr>
        <w:pStyle w:val="ListParagraph"/>
        <w:numPr>
          <w:ilvl w:val="0"/>
          <w:numId w:val="1"/>
        </w:numPr>
        <w:spacing w:after="232" w:line="250" w:lineRule="auto"/>
        <w:rPr>
          <w:sz w:val="22"/>
        </w:rPr>
      </w:pPr>
      <w:r w:rsidRPr="0036150E">
        <w:rPr>
          <w:rFonts w:ascii="Arial" w:eastAsia="Arial" w:hAnsi="Arial" w:cs="Arial"/>
          <w:sz w:val="22"/>
        </w:rPr>
        <w:t>Administrative personnel will ensure that income and insurance information are current on an ongoing basis.</w:t>
      </w:r>
    </w:p>
    <w:p w14:paraId="10D2F2E4" w14:textId="752BF332" w:rsidR="00BD7D36" w:rsidRPr="0036150E" w:rsidRDefault="00BD7D36" w:rsidP="0036150E">
      <w:pPr>
        <w:pStyle w:val="ListParagraph"/>
        <w:numPr>
          <w:ilvl w:val="0"/>
          <w:numId w:val="1"/>
        </w:numPr>
        <w:spacing w:after="232" w:line="250" w:lineRule="auto"/>
        <w:rPr>
          <w:sz w:val="22"/>
        </w:rPr>
      </w:pPr>
      <w:r w:rsidRPr="0036150E">
        <w:rPr>
          <w:rFonts w:ascii="Arial" w:eastAsia="Arial" w:hAnsi="Arial" w:cs="Arial"/>
          <w:sz w:val="22"/>
        </w:rPr>
        <w:t xml:space="preserve">The consumer must report changes to their income and/or insurance coverage and complete a new Eligibility and Financial form and provide required documentation of income to verify their Tier on the Sliding Fee </w:t>
      </w:r>
      <w:r w:rsidR="00442361" w:rsidRPr="0036150E">
        <w:rPr>
          <w:rFonts w:ascii="Arial" w:eastAsia="Arial" w:hAnsi="Arial" w:cs="Arial"/>
          <w:sz w:val="22"/>
        </w:rPr>
        <w:t xml:space="preserve">Scale (Attachment </w:t>
      </w:r>
      <w:r w:rsidR="00442361">
        <w:rPr>
          <w:rFonts w:ascii="Arial" w:eastAsia="Arial" w:hAnsi="Arial" w:cs="Arial"/>
          <w:sz w:val="22"/>
        </w:rPr>
        <w:t>A2</w:t>
      </w:r>
      <w:r w:rsidR="00442361" w:rsidRPr="0036150E">
        <w:rPr>
          <w:rFonts w:ascii="Arial" w:eastAsia="Arial" w:hAnsi="Arial" w:cs="Arial"/>
          <w:sz w:val="22"/>
        </w:rPr>
        <w:t>)</w:t>
      </w:r>
      <w:r w:rsidRPr="0036150E">
        <w:rPr>
          <w:rFonts w:ascii="Arial" w:eastAsia="Arial" w:hAnsi="Arial" w:cs="Arial"/>
          <w:sz w:val="22"/>
        </w:rPr>
        <w:t>.</w:t>
      </w:r>
    </w:p>
    <w:p w14:paraId="07BCC323" w14:textId="3AF06D18" w:rsidR="00BD7D36" w:rsidRPr="0036150E" w:rsidRDefault="00BD7D36" w:rsidP="0036150E">
      <w:pPr>
        <w:pStyle w:val="ListParagraph"/>
        <w:numPr>
          <w:ilvl w:val="0"/>
          <w:numId w:val="1"/>
        </w:numPr>
        <w:spacing w:after="232" w:line="250" w:lineRule="auto"/>
        <w:rPr>
          <w:sz w:val="22"/>
        </w:rPr>
      </w:pPr>
      <w:r w:rsidRPr="0036150E">
        <w:rPr>
          <w:rFonts w:ascii="Arial" w:eastAsia="Arial" w:hAnsi="Arial" w:cs="Arial"/>
          <w:sz w:val="22"/>
        </w:rPr>
        <w:t>Annually – between November and January, administrative personnel will ensure the completion of a new Eligibility and Financial form, along with approved self-attestation or 30 days of income information, regardless of whether there have been any changes.</w:t>
      </w:r>
    </w:p>
    <w:p w14:paraId="6F96D2EE" w14:textId="03445116" w:rsidR="00BD7D36" w:rsidRPr="000F35BA" w:rsidRDefault="00BD7D36" w:rsidP="00312B17">
      <w:pPr>
        <w:pStyle w:val="Heading1"/>
        <w:tabs>
          <w:tab w:val="center" w:pos="1634"/>
        </w:tabs>
        <w:ind w:left="-90" w:firstLine="0"/>
        <w:rPr>
          <w:sz w:val="22"/>
          <w:u w:val="single"/>
        </w:rPr>
      </w:pPr>
      <w:r w:rsidRPr="000F35BA">
        <w:rPr>
          <w:sz w:val="22"/>
          <w:u w:val="single"/>
        </w:rPr>
        <w:t>ATTACHMENTS</w:t>
      </w:r>
    </w:p>
    <w:p w14:paraId="0826DDAA" w14:textId="25B33D00" w:rsidR="00BD7D36" w:rsidRPr="00233E29" w:rsidRDefault="0036150E" w:rsidP="00312B17">
      <w:pPr>
        <w:tabs>
          <w:tab w:val="center" w:pos="887"/>
          <w:tab w:val="center" w:pos="2968"/>
        </w:tabs>
        <w:spacing w:after="232" w:line="250" w:lineRule="auto"/>
        <w:ind w:left="-90" w:firstLine="0"/>
        <w:rPr>
          <w:sz w:val="22"/>
        </w:rPr>
      </w:pPr>
      <w:r>
        <w:rPr>
          <w:rFonts w:ascii="Arial" w:eastAsia="Arial" w:hAnsi="Arial" w:cs="Arial"/>
          <w:sz w:val="22"/>
        </w:rPr>
        <w:t>A1</w:t>
      </w:r>
      <w:r w:rsidR="000F35BA">
        <w:rPr>
          <w:rFonts w:ascii="Arial" w:eastAsia="Arial" w:hAnsi="Arial" w:cs="Arial"/>
          <w:sz w:val="22"/>
        </w:rPr>
        <w:t xml:space="preserve">        </w:t>
      </w:r>
      <w:r w:rsidR="00BD7D36" w:rsidRPr="00233E29">
        <w:rPr>
          <w:rFonts w:ascii="Arial" w:eastAsia="Arial" w:hAnsi="Arial" w:cs="Arial"/>
          <w:sz w:val="22"/>
        </w:rPr>
        <w:t xml:space="preserve"> </w:t>
      </w:r>
      <w:r w:rsidR="00BD7D36" w:rsidRPr="00233E29">
        <w:rPr>
          <w:rFonts w:ascii="Arial" w:eastAsia="Arial" w:hAnsi="Arial" w:cs="Arial"/>
          <w:sz w:val="22"/>
        </w:rPr>
        <w:tab/>
      </w:r>
      <w:r w:rsidR="004C1474">
        <w:rPr>
          <w:rFonts w:ascii="Arial" w:eastAsia="Arial" w:hAnsi="Arial" w:cs="Arial"/>
          <w:sz w:val="22"/>
        </w:rPr>
        <w:t xml:space="preserve"> </w:t>
      </w:r>
      <w:r w:rsidR="00BD7D36" w:rsidRPr="00233E29">
        <w:rPr>
          <w:rFonts w:ascii="Arial" w:eastAsia="Arial" w:hAnsi="Arial" w:cs="Arial"/>
          <w:sz w:val="22"/>
        </w:rPr>
        <w:t>Eligibility and Financial Form</w:t>
      </w:r>
      <w:r w:rsidR="00442361">
        <w:rPr>
          <w:rFonts w:ascii="Arial" w:eastAsia="Arial" w:hAnsi="Arial" w:cs="Arial"/>
          <w:sz w:val="22"/>
        </w:rPr>
        <w:t xml:space="preserve"> (FIF)</w:t>
      </w:r>
    </w:p>
    <w:p w14:paraId="56127722" w14:textId="58F1DC21" w:rsidR="00BD7D36" w:rsidRDefault="0036150E" w:rsidP="00312B17">
      <w:pPr>
        <w:tabs>
          <w:tab w:val="center" w:pos="887"/>
          <w:tab w:val="center" w:pos="3342"/>
        </w:tabs>
        <w:spacing w:after="232" w:line="250" w:lineRule="auto"/>
        <w:ind w:left="-90" w:firstLine="0"/>
        <w:rPr>
          <w:rFonts w:ascii="Arial" w:eastAsia="Arial" w:hAnsi="Arial" w:cs="Arial"/>
          <w:sz w:val="22"/>
        </w:rPr>
      </w:pPr>
      <w:r>
        <w:rPr>
          <w:rFonts w:ascii="Arial" w:eastAsia="Arial" w:hAnsi="Arial" w:cs="Arial"/>
          <w:sz w:val="22"/>
        </w:rPr>
        <w:t>A2</w:t>
      </w:r>
      <w:r w:rsidR="00BD7D36" w:rsidRPr="00233E29">
        <w:rPr>
          <w:rFonts w:ascii="Arial" w:eastAsia="Arial" w:hAnsi="Arial" w:cs="Arial"/>
          <w:sz w:val="22"/>
        </w:rPr>
        <w:t xml:space="preserve"> </w:t>
      </w:r>
      <w:r w:rsidR="00BD7D36" w:rsidRPr="00233E29">
        <w:rPr>
          <w:rFonts w:ascii="Arial" w:eastAsia="Arial" w:hAnsi="Arial" w:cs="Arial"/>
          <w:sz w:val="22"/>
        </w:rPr>
        <w:tab/>
      </w:r>
      <w:r w:rsidR="000F35BA">
        <w:rPr>
          <w:rFonts w:ascii="Arial" w:eastAsia="Arial" w:hAnsi="Arial" w:cs="Arial"/>
          <w:sz w:val="22"/>
        </w:rPr>
        <w:t xml:space="preserve">       </w:t>
      </w:r>
      <w:r w:rsidR="004C1474">
        <w:rPr>
          <w:rFonts w:ascii="Arial" w:eastAsia="Arial" w:hAnsi="Arial" w:cs="Arial"/>
          <w:sz w:val="22"/>
        </w:rPr>
        <w:t xml:space="preserve"> </w:t>
      </w:r>
      <w:r w:rsidR="000F35BA">
        <w:rPr>
          <w:rFonts w:ascii="Arial" w:eastAsia="Arial" w:hAnsi="Arial" w:cs="Arial"/>
          <w:sz w:val="22"/>
        </w:rPr>
        <w:t xml:space="preserve"> </w:t>
      </w:r>
      <w:r w:rsidR="00BD7D36" w:rsidRPr="00233E29">
        <w:rPr>
          <w:rFonts w:ascii="Arial" w:eastAsia="Arial" w:hAnsi="Arial" w:cs="Arial"/>
          <w:sz w:val="22"/>
        </w:rPr>
        <w:t>2020 DPBH Sliding Scale Fee chart</w:t>
      </w:r>
    </w:p>
    <w:p w14:paraId="5196D161" w14:textId="21EB4597" w:rsidR="00E10FB1" w:rsidRDefault="00E10FB1" w:rsidP="00312B17">
      <w:pPr>
        <w:tabs>
          <w:tab w:val="center" w:pos="887"/>
          <w:tab w:val="center" w:pos="3342"/>
        </w:tabs>
        <w:spacing w:after="232" w:line="250" w:lineRule="auto"/>
        <w:ind w:left="-90" w:firstLine="0"/>
        <w:rPr>
          <w:rFonts w:ascii="Arial" w:eastAsia="Arial" w:hAnsi="Arial" w:cs="Arial"/>
          <w:sz w:val="22"/>
        </w:rPr>
      </w:pPr>
    </w:p>
    <w:p w14:paraId="59D9730B" w14:textId="061F47E3" w:rsidR="00E10FB1" w:rsidRDefault="00E10FB1" w:rsidP="00312B17">
      <w:pPr>
        <w:tabs>
          <w:tab w:val="center" w:pos="887"/>
          <w:tab w:val="center" w:pos="3342"/>
        </w:tabs>
        <w:spacing w:after="232" w:line="250" w:lineRule="auto"/>
        <w:ind w:left="-90" w:firstLine="0"/>
        <w:rPr>
          <w:rFonts w:ascii="Arial" w:eastAsia="Arial" w:hAnsi="Arial" w:cs="Arial"/>
          <w:sz w:val="22"/>
        </w:rPr>
      </w:pPr>
    </w:p>
    <w:p w14:paraId="79158F9A" w14:textId="4B32F35E" w:rsidR="00E10FB1" w:rsidRDefault="00E10FB1" w:rsidP="00312B17">
      <w:pPr>
        <w:tabs>
          <w:tab w:val="center" w:pos="887"/>
          <w:tab w:val="center" w:pos="3342"/>
        </w:tabs>
        <w:spacing w:after="232" w:line="250" w:lineRule="auto"/>
        <w:ind w:left="-90" w:firstLine="0"/>
        <w:rPr>
          <w:rFonts w:ascii="Arial" w:eastAsia="Arial" w:hAnsi="Arial" w:cs="Arial"/>
          <w:sz w:val="22"/>
        </w:rPr>
      </w:pPr>
    </w:p>
    <w:p w14:paraId="7CAF30B1" w14:textId="2646597B" w:rsidR="00E10FB1" w:rsidRPr="00233E29" w:rsidRDefault="00E10FB1" w:rsidP="00312B17">
      <w:pPr>
        <w:tabs>
          <w:tab w:val="center" w:pos="887"/>
          <w:tab w:val="center" w:pos="3342"/>
        </w:tabs>
        <w:spacing w:after="232" w:line="250" w:lineRule="auto"/>
        <w:ind w:left="-90" w:firstLine="0"/>
        <w:rPr>
          <w:sz w:val="22"/>
        </w:rPr>
      </w:pPr>
      <w:r>
        <w:rPr>
          <w:rFonts w:ascii="Arial" w:eastAsia="Arial" w:hAnsi="Arial" w:cs="Arial"/>
          <w:sz w:val="22"/>
        </w:rPr>
        <w:t xml:space="preserve">Agency Manager </w:t>
      </w:r>
      <w:proofErr w:type="gramStart"/>
      <w:r>
        <w:rPr>
          <w:rFonts w:ascii="Arial" w:eastAsia="Arial" w:hAnsi="Arial" w:cs="Arial"/>
          <w:sz w:val="22"/>
        </w:rPr>
        <w:t>Approval:_</w:t>
      </w:r>
      <w:proofErr w:type="gramEnd"/>
      <w:r>
        <w:rPr>
          <w:rFonts w:ascii="Arial" w:eastAsia="Arial" w:hAnsi="Arial" w:cs="Arial"/>
          <w:sz w:val="22"/>
        </w:rPr>
        <w:t>______________________________ Dated:_______________</w:t>
      </w:r>
    </w:p>
    <w:p w14:paraId="01F78637" w14:textId="670076B7" w:rsidR="000A65FA" w:rsidRDefault="00782981" w:rsidP="00312B17">
      <w:pPr>
        <w:ind w:left="-90" w:firstLine="0"/>
        <w:rPr>
          <w:rFonts w:ascii="Arial" w:eastAsia="Arial" w:hAnsi="Arial" w:cs="Arial"/>
          <w:sz w:val="22"/>
        </w:rPr>
      </w:pPr>
    </w:p>
    <w:p w14:paraId="3BAAD300" w14:textId="236D86C3" w:rsidR="00442361" w:rsidRDefault="00442361" w:rsidP="00312B17">
      <w:pPr>
        <w:ind w:left="-90" w:firstLine="0"/>
        <w:rPr>
          <w:rFonts w:ascii="Arial" w:eastAsia="Arial" w:hAnsi="Arial" w:cs="Arial"/>
          <w:sz w:val="22"/>
        </w:rPr>
      </w:pPr>
    </w:p>
    <w:p w14:paraId="3BD79F90" w14:textId="5A111E0B" w:rsidR="00442361" w:rsidRDefault="00442361" w:rsidP="00312B17">
      <w:pPr>
        <w:ind w:left="-90" w:firstLine="0"/>
        <w:rPr>
          <w:rFonts w:ascii="Arial" w:eastAsia="Arial" w:hAnsi="Arial" w:cs="Arial"/>
          <w:sz w:val="22"/>
        </w:rPr>
      </w:pPr>
    </w:p>
    <w:p w14:paraId="5DBA77D1" w14:textId="484DAD5C" w:rsidR="00442361" w:rsidRPr="00233E29" w:rsidRDefault="007F0C6B" w:rsidP="00312B17">
      <w:pPr>
        <w:ind w:left="-90" w:firstLine="0"/>
        <w:rPr>
          <w:sz w:val="22"/>
        </w:rPr>
      </w:pPr>
      <w:r>
        <w:rPr>
          <w:sz w:val="22"/>
        </w:rPr>
        <w:object w:dxaOrig="9000" w:dyaOrig="11325" w14:anchorId="3D519C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566.4pt" o:ole="">
            <v:imagedata r:id="rId11" o:title=""/>
          </v:shape>
          <o:OLEObject Type="Embed" ProgID="AcroExch.Document.DC" ShapeID="_x0000_i1025" DrawAspect="Content" ObjectID="_1752484075" r:id="rId12"/>
        </w:object>
      </w:r>
      <w:r>
        <w:rPr>
          <w:sz w:val="22"/>
        </w:rPr>
        <w:object w:dxaOrig="9000" w:dyaOrig="11340" w14:anchorId="41BA0F5A">
          <v:shape id="_x0000_i1026" type="#_x0000_t75" style="width:450pt;height:567pt" o:ole="">
            <v:imagedata r:id="rId13" o:title=""/>
          </v:shape>
          <o:OLEObject Type="Embed" ProgID="AcroExch.Document.DC" ShapeID="_x0000_i1026" DrawAspect="Content" ObjectID="_1752484076" r:id="rId14"/>
        </w:object>
      </w:r>
      <w:r>
        <w:rPr>
          <w:sz w:val="22"/>
        </w:rPr>
        <w:object w:dxaOrig="8970" w:dyaOrig="11415" w14:anchorId="1EA773D7">
          <v:shape id="_x0000_i1027" type="#_x0000_t75" style="width:448.8pt;height:570.6pt" o:ole="">
            <v:imagedata r:id="rId15" o:title=""/>
          </v:shape>
          <o:OLEObject Type="Embed" ProgID="AcroExch.Document.DC" ShapeID="_x0000_i1027" DrawAspect="Content" ObjectID="_1752484077" r:id="rId16"/>
        </w:object>
      </w:r>
    </w:p>
    <w:sectPr w:rsidR="00442361" w:rsidRPr="00233E29">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A4ACC" w14:textId="77777777" w:rsidR="00631D9C" w:rsidRDefault="00631D9C" w:rsidP="00F24199">
      <w:pPr>
        <w:spacing w:after="0" w:line="240" w:lineRule="auto"/>
      </w:pPr>
      <w:r>
        <w:separator/>
      </w:r>
    </w:p>
  </w:endnote>
  <w:endnote w:type="continuationSeparator" w:id="0">
    <w:p w14:paraId="6FA865BE" w14:textId="77777777" w:rsidR="00631D9C" w:rsidRDefault="00631D9C" w:rsidP="00F24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962517"/>
      <w:docPartObj>
        <w:docPartGallery w:val="Page Numbers (Bottom of Page)"/>
        <w:docPartUnique/>
      </w:docPartObj>
    </w:sdtPr>
    <w:sdtEndPr/>
    <w:sdtContent>
      <w:sdt>
        <w:sdtPr>
          <w:id w:val="-1769616900"/>
          <w:docPartObj>
            <w:docPartGallery w:val="Page Numbers (Top of Page)"/>
            <w:docPartUnique/>
          </w:docPartObj>
        </w:sdtPr>
        <w:sdtEndPr/>
        <w:sdtContent>
          <w:p w14:paraId="3FBA4BBB" w14:textId="1187E631" w:rsidR="00233E29" w:rsidRDefault="00233E2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D53FDC6" w14:textId="1448964A" w:rsidR="00493BEE" w:rsidRDefault="00493B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ABA01" w14:textId="77777777" w:rsidR="00631D9C" w:rsidRDefault="00631D9C" w:rsidP="00F24199">
      <w:pPr>
        <w:spacing w:after="0" w:line="240" w:lineRule="auto"/>
      </w:pPr>
      <w:r>
        <w:separator/>
      </w:r>
    </w:p>
  </w:footnote>
  <w:footnote w:type="continuationSeparator" w:id="0">
    <w:p w14:paraId="1FABACB7" w14:textId="77777777" w:rsidR="00631D9C" w:rsidRDefault="00631D9C" w:rsidP="00F241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28223" w14:textId="790C96A0" w:rsidR="00F24199" w:rsidRPr="00F24199" w:rsidRDefault="00F24199" w:rsidP="00F24199">
    <w:pPr>
      <w:pStyle w:val="Header"/>
      <w:jc w:val="center"/>
      <w:rPr>
        <w:sz w:val="32"/>
        <w:szCs w:val="32"/>
      </w:rPr>
    </w:pPr>
    <w:r>
      <w:rPr>
        <w:noProof/>
      </w:rPr>
      <w:drawing>
        <wp:anchor distT="0" distB="0" distL="114300" distR="114300" simplePos="0" relativeHeight="251659264" behindDoc="0" locked="0" layoutInCell="1" allowOverlap="1" wp14:anchorId="72504641" wp14:editId="58822750">
          <wp:simplePos x="0" y="0"/>
          <wp:positionH relativeFrom="column">
            <wp:posOffset>-223284</wp:posOffset>
          </wp:positionH>
          <wp:positionV relativeFrom="paragraph">
            <wp:posOffset>-308344</wp:posOffset>
          </wp:positionV>
          <wp:extent cx="554949" cy="743579"/>
          <wp:effectExtent l="0" t="0" r="0" b="0"/>
          <wp:wrapNone/>
          <wp:docPr id="47319" name="Picture 47319" descr="A close-up of a 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47319" name="Picture 47319" descr="A close-up of a logo&#10;&#10;Description automatically generated with low confidence"/>
                  <pic:cNvPicPr/>
                </pic:nvPicPr>
                <pic:blipFill>
                  <a:blip r:embed="rId1"/>
                  <a:stretch>
                    <a:fillRect/>
                  </a:stretch>
                </pic:blipFill>
                <pic:spPr>
                  <a:xfrm>
                    <a:off x="0" y="0"/>
                    <a:ext cx="554949" cy="743579"/>
                  </a:xfrm>
                  <a:prstGeom prst="rect">
                    <a:avLst/>
                  </a:prstGeom>
                </pic:spPr>
              </pic:pic>
            </a:graphicData>
          </a:graphic>
        </wp:anchor>
      </w:drawing>
    </w:r>
    <w:r w:rsidRPr="00F24199">
      <w:rPr>
        <w:sz w:val="32"/>
        <w:szCs w:val="32"/>
      </w:rPr>
      <w:t>NNAMHS PROCEDURE</w:t>
    </w:r>
  </w:p>
  <w:p w14:paraId="4B700295" w14:textId="41D855B3" w:rsidR="00F24199" w:rsidRDefault="00F24199">
    <w:pPr>
      <w:pStyle w:val="Header"/>
    </w:pPr>
    <w:r>
      <w:t xml:space="preserve">               </w:t>
    </w:r>
  </w:p>
  <w:p w14:paraId="235C97C2" w14:textId="3236BE40" w:rsidR="00F24199" w:rsidRDefault="00F24199">
    <w:pPr>
      <w:pStyle w:val="Header"/>
    </w:pPr>
  </w:p>
  <w:p w14:paraId="792D6FBE" w14:textId="59964243" w:rsidR="00F24199" w:rsidRPr="00F24199" w:rsidRDefault="00F24199">
    <w:pPr>
      <w:pStyle w:val="Header"/>
      <w:rPr>
        <w:sz w:val="24"/>
        <w:szCs w:val="24"/>
        <w:u w:val="single"/>
      </w:rPr>
    </w:pPr>
    <w:r w:rsidRPr="00F24199">
      <w:rPr>
        <w:sz w:val="24"/>
        <w:szCs w:val="24"/>
        <w:u w:val="single"/>
      </w:rPr>
      <w:t xml:space="preserve">Control#:            Revision Date:        </w:t>
    </w:r>
    <w:r>
      <w:rPr>
        <w:sz w:val="24"/>
        <w:szCs w:val="24"/>
        <w:u w:val="single"/>
      </w:rPr>
      <w:t xml:space="preserve">    </w:t>
    </w:r>
    <w:r w:rsidRPr="00F24199">
      <w:rPr>
        <w:sz w:val="24"/>
        <w:szCs w:val="24"/>
        <w:u w:val="single"/>
      </w:rPr>
      <w:t xml:space="preserve">Title:                                                         Effective Date:                    </w:t>
    </w:r>
  </w:p>
  <w:p w14:paraId="6BA65A46" w14:textId="1264E99B" w:rsidR="00F24199" w:rsidRDefault="004C1474" w:rsidP="00F24199">
    <w:pPr>
      <w:pStyle w:val="Header"/>
      <w:tabs>
        <w:tab w:val="left" w:pos="1792"/>
        <w:tab w:val="left" w:pos="3617"/>
        <w:tab w:val="left" w:pos="5944"/>
      </w:tabs>
      <w:rPr>
        <w:sz w:val="24"/>
        <w:szCs w:val="24"/>
      </w:rPr>
    </w:pPr>
    <w:r>
      <w:rPr>
        <w:sz w:val="24"/>
        <w:szCs w:val="24"/>
      </w:rPr>
      <w:t>NN-FM-20</w:t>
    </w:r>
    <w:r w:rsidR="00F24199">
      <w:rPr>
        <w:sz w:val="24"/>
        <w:szCs w:val="24"/>
      </w:rPr>
      <w:t xml:space="preserve">           </w:t>
    </w:r>
    <w:r w:rsidR="00F24199" w:rsidRPr="00F24199">
      <w:rPr>
        <w:sz w:val="24"/>
        <w:szCs w:val="24"/>
      </w:rPr>
      <w:t>0</w:t>
    </w:r>
    <w:r w:rsidR="00AD6559">
      <w:rPr>
        <w:sz w:val="24"/>
        <w:szCs w:val="24"/>
      </w:rPr>
      <w:t>5/</w:t>
    </w:r>
    <w:r w:rsidR="007F0C6B">
      <w:rPr>
        <w:sz w:val="24"/>
        <w:szCs w:val="24"/>
      </w:rPr>
      <w:t>11</w:t>
    </w:r>
    <w:r w:rsidR="00F24199" w:rsidRPr="00F24199">
      <w:rPr>
        <w:sz w:val="24"/>
        <w:szCs w:val="24"/>
      </w:rPr>
      <w:t>/2022</w:t>
    </w:r>
    <w:r w:rsidR="00F24199" w:rsidRPr="00F24199">
      <w:rPr>
        <w:sz w:val="24"/>
        <w:szCs w:val="24"/>
      </w:rPr>
      <w:tab/>
      <w:t xml:space="preserve">Sliding Fee </w:t>
    </w:r>
    <w:r w:rsidR="00F24199">
      <w:rPr>
        <w:sz w:val="24"/>
        <w:szCs w:val="24"/>
      </w:rPr>
      <w:t xml:space="preserve">Scale Procedure                 </w:t>
    </w:r>
    <w:r w:rsidR="00C44B4C">
      <w:rPr>
        <w:sz w:val="24"/>
        <w:szCs w:val="24"/>
      </w:rPr>
      <w:t>0</w:t>
    </w:r>
    <w:r w:rsidR="00AD6559">
      <w:rPr>
        <w:sz w:val="24"/>
        <w:szCs w:val="24"/>
      </w:rPr>
      <w:t>5</w:t>
    </w:r>
    <w:r w:rsidR="00C44B4C">
      <w:rPr>
        <w:sz w:val="24"/>
        <w:szCs w:val="24"/>
      </w:rPr>
      <w:t>/</w:t>
    </w:r>
    <w:r w:rsidR="007F0C6B">
      <w:rPr>
        <w:sz w:val="24"/>
        <w:szCs w:val="24"/>
      </w:rPr>
      <w:t>16</w:t>
    </w:r>
    <w:r w:rsidR="00F24199" w:rsidRPr="00F24199">
      <w:rPr>
        <w:sz w:val="24"/>
        <w:szCs w:val="24"/>
      </w:rPr>
      <w:t>/2022</w:t>
    </w:r>
    <w:r w:rsidR="00F24199" w:rsidRPr="00F24199">
      <w:rPr>
        <w:sz w:val="24"/>
        <w:szCs w:val="24"/>
      </w:rPr>
      <w:tab/>
    </w:r>
  </w:p>
  <w:p w14:paraId="0B604BA4" w14:textId="77A1F756" w:rsidR="00F24199" w:rsidRPr="00F24199" w:rsidRDefault="00F24199" w:rsidP="00F24199">
    <w:pPr>
      <w:pStyle w:val="Header"/>
      <w:tabs>
        <w:tab w:val="left" w:pos="1792"/>
        <w:tab w:val="left" w:pos="3617"/>
        <w:tab w:val="left" w:pos="5944"/>
      </w:tabs>
      <w:rPr>
        <w:sz w:val="24"/>
        <w:szCs w:val="24"/>
      </w:rPr>
    </w:pPr>
    <w:r>
      <w:rPr>
        <w:sz w:val="24"/>
        <w:szCs w:val="24"/>
      </w:rPr>
      <w:t>______________________________________________________________________________</w:t>
    </w:r>
  </w:p>
  <w:p w14:paraId="00E04758" w14:textId="77777777" w:rsidR="00F24199" w:rsidRPr="00F24199" w:rsidRDefault="00F24199">
    <w:pPr>
      <w:pStyle w:val="Head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364460"/>
    <w:multiLevelType w:val="hybridMultilevel"/>
    <w:tmpl w:val="95F41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73510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199"/>
    <w:rsid w:val="00025B75"/>
    <w:rsid w:val="000613B4"/>
    <w:rsid w:val="0009674A"/>
    <w:rsid w:val="00096E53"/>
    <w:rsid w:val="000F35BA"/>
    <w:rsid w:val="001176D2"/>
    <w:rsid w:val="001C544E"/>
    <w:rsid w:val="00210A10"/>
    <w:rsid w:val="00233E29"/>
    <w:rsid w:val="0024113C"/>
    <w:rsid w:val="002D7B28"/>
    <w:rsid w:val="00304A75"/>
    <w:rsid w:val="00312B17"/>
    <w:rsid w:val="00337E84"/>
    <w:rsid w:val="0036150E"/>
    <w:rsid w:val="003E66C4"/>
    <w:rsid w:val="00442361"/>
    <w:rsid w:val="00450CFA"/>
    <w:rsid w:val="00493BEE"/>
    <w:rsid w:val="004C1474"/>
    <w:rsid w:val="00500176"/>
    <w:rsid w:val="00550665"/>
    <w:rsid w:val="0062575B"/>
    <w:rsid w:val="00631D9C"/>
    <w:rsid w:val="0069292F"/>
    <w:rsid w:val="006B57C8"/>
    <w:rsid w:val="007071FF"/>
    <w:rsid w:val="00712B27"/>
    <w:rsid w:val="00782981"/>
    <w:rsid w:val="00787086"/>
    <w:rsid w:val="007F0C6B"/>
    <w:rsid w:val="008B1AF5"/>
    <w:rsid w:val="00957192"/>
    <w:rsid w:val="00993BD7"/>
    <w:rsid w:val="009C090F"/>
    <w:rsid w:val="00A11E79"/>
    <w:rsid w:val="00A51685"/>
    <w:rsid w:val="00AD6559"/>
    <w:rsid w:val="00B15950"/>
    <w:rsid w:val="00BD7D36"/>
    <w:rsid w:val="00C43E5F"/>
    <w:rsid w:val="00C44B4C"/>
    <w:rsid w:val="00C7766D"/>
    <w:rsid w:val="00D1212E"/>
    <w:rsid w:val="00E10FB1"/>
    <w:rsid w:val="00EA29F9"/>
    <w:rsid w:val="00EC5C7F"/>
    <w:rsid w:val="00F241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27DE964"/>
  <w15:chartTrackingRefBased/>
  <w15:docId w15:val="{DDD95491-0D5B-4B61-B43A-CFA904482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D36"/>
    <w:pPr>
      <w:spacing w:after="5" w:line="269" w:lineRule="auto"/>
      <w:ind w:left="120" w:hanging="10"/>
    </w:pPr>
    <w:rPr>
      <w:rFonts w:ascii="Calibri" w:eastAsia="Calibri" w:hAnsi="Calibri" w:cs="Calibri"/>
      <w:color w:val="000000"/>
      <w:sz w:val="13"/>
    </w:rPr>
  </w:style>
  <w:style w:type="paragraph" w:styleId="Heading1">
    <w:name w:val="heading 1"/>
    <w:next w:val="Normal"/>
    <w:link w:val="Heading1Char"/>
    <w:uiPriority w:val="9"/>
    <w:qFormat/>
    <w:rsid w:val="00BD7D36"/>
    <w:pPr>
      <w:keepNext/>
      <w:keepLines/>
      <w:spacing w:after="226"/>
      <w:ind w:left="10"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4199"/>
    <w:pPr>
      <w:tabs>
        <w:tab w:val="center" w:pos="4680"/>
        <w:tab w:val="right" w:pos="9360"/>
      </w:tabs>
      <w:spacing w:after="0" w:line="240" w:lineRule="auto"/>
      <w:ind w:left="0" w:firstLine="0"/>
    </w:pPr>
    <w:rPr>
      <w:rFonts w:asciiTheme="minorHAnsi" w:eastAsiaTheme="minorHAnsi" w:hAnsiTheme="minorHAnsi" w:cstheme="minorBidi"/>
      <w:color w:val="auto"/>
      <w:sz w:val="22"/>
    </w:rPr>
  </w:style>
  <w:style w:type="character" w:customStyle="1" w:styleId="HeaderChar">
    <w:name w:val="Header Char"/>
    <w:basedOn w:val="DefaultParagraphFont"/>
    <w:link w:val="Header"/>
    <w:uiPriority w:val="99"/>
    <w:rsid w:val="00F24199"/>
  </w:style>
  <w:style w:type="paragraph" w:styleId="Footer">
    <w:name w:val="footer"/>
    <w:basedOn w:val="Normal"/>
    <w:link w:val="FooterChar"/>
    <w:uiPriority w:val="99"/>
    <w:unhideWhenUsed/>
    <w:rsid w:val="00F24199"/>
    <w:pPr>
      <w:tabs>
        <w:tab w:val="center" w:pos="4680"/>
        <w:tab w:val="right" w:pos="9360"/>
      </w:tabs>
      <w:spacing w:after="0" w:line="240" w:lineRule="auto"/>
      <w:ind w:left="0" w:firstLine="0"/>
    </w:pPr>
    <w:rPr>
      <w:rFonts w:asciiTheme="minorHAnsi" w:eastAsiaTheme="minorHAnsi" w:hAnsiTheme="minorHAnsi" w:cstheme="minorBidi"/>
      <w:color w:val="auto"/>
      <w:sz w:val="22"/>
    </w:rPr>
  </w:style>
  <w:style w:type="character" w:customStyle="1" w:styleId="FooterChar">
    <w:name w:val="Footer Char"/>
    <w:basedOn w:val="DefaultParagraphFont"/>
    <w:link w:val="Footer"/>
    <w:uiPriority w:val="99"/>
    <w:rsid w:val="00F24199"/>
  </w:style>
  <w:style w:type="character" w:customStyle="1" w:styleId="Heading1Char">
    <w:name w:val="Heading 1 Char"/>
    <w:basedOn w:val="DefaultParagraphFont"/>
    <w:link w:val="Heading1"/>
    <w:uiPriority w:val="9"/>
    <w:rsid w:val="00BD7D36"/>
    <w:rPr>
      <w:rFonts w:ascii="Arial" w:eastAsia="Arial" w:hAnsi="Arial" w:cs="Arial"/>
      <w:b/>
      <w:color w:val="000000"/>
      <w:sz w:val="24"/>
    </w:rPr>
  </w:style>
  <w:style w:type="paragraph" w:styleId="ListParagraph">
    <w:name w:val="List Paragraph"/>
    <w:basedOn w:val="Normal"/>
    <w:uiPriority w:val="34"/>
    <w:qFormat/>
    <w:rsid w:val="003615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pe.hhs.gov/poverty-guidelines" TargetMode="Externa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aspe.hhs.gov/poverty-guidelines" TargetMode="Externa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yperlink" Target="https://aspe.hhs.gov/poverty-guideline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aspe.hhs.gov/poverty-guidelines" TargetMode="External"/><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596</Words>
  <Characters>3398</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Walsh</dc:creator>
  <cp:keywords/>
  <dc:description/>
  <cp:lastModifiedBy>Samara Cavanaugh</cp:lastModifiedBy>
  <cp:revision>2</cp:revision>
  <cp:lastPrinted>2022-05-11T18:17:00Z</cp:lastPrinted>
  <dcterms:created xsi:type="dcterms:W3CDTF">2023-08-02T19:21:00Z</dcterms:created>
  <dcterms:modified xsi:type="dcterms:W3CDTF">2023-08-02T19:21:00Z</dcterms:modified>
</cp:coreProperties>
</file>